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B8" w:rsidRPr="00F402E1" w:rsidRDefault="005439BF" w:rsidP="00392BC5">
      <w:pPr>
        <w:jc w:val="center"/>
        <w:rPr>
          <w:rFonts w:ascii="华文琥珀" w:eastAsia="华文琥珀"/>
          <w:sz w:val="32"/>
          <w:szCs w:val="32"/>
        </w:rPr>
      </w:pPr>
      <w:r>
        <w:rPr>
          <w:rFonts w:ascii="华文琥珀" w:eastAsia="华文琥珀" w:hint="eastAsia"/>
          <w:sz w:val="32"/>
          <w:szCs w:val="32"/>
        </w:rPr>
        <w:t>港口</w:t>
      </w:r>
      <w:r w:rsidR="00A27291">
        <w:rPr>
          <w:rFonts w:ascii="华文琥珀" w:eastAsia="华文琥珀" w:hint="eastAsia"/>
          <w:sz w:val="32"/>
          <w:szCs w:val="32"/>
        </w:rPr>
        <w:t>装卸新工艺</w:t>
      </w:r>
    </w:p>
    <w:p w:rsidR="00F402E1" w:rsidRDefault="00F402E1" w:rsidP="00392BC5">
      <w:pPr>
        <w:jc w:val="center"/>
      </w:pPr>
      <w:r w:rsidRPr="00F402E1">
        <w:rPr>
          <w:rFonts w:hint="eastAsia"/>
        </w:rPr>
        <w:t>江苏万宝机械有限公司</w:t>
      </w:r>
      <w:r>
        <w:rPr>
          <w:rFonts w:hint="eastAsia"/>
        </w:rPr>
        <w:t xml:space="preserve">   </w:t>
      </w:r>
      <w:r>
        <w:rPr>
          <w:rFonts w:hint="eastAsia"/>
        </w:rPr>
        <w:t>郭永平</w:t>
      </w:r>
    </w:p>
    <w:p w:rsidR="00991615" w:rsidRDefault="00817D51" w:rsidP="00991615">
      <w:pPr>
        <w:jc w:val="left"/>
      </w:pPr>
      <w:r>
        <w:rPr>
          <w:rFonts w:hint="eastAsia"/>
        </w:rPr>
        <w:t>关键</w:t>
      </w:r>
      <w:r w:rsidR="00E87FBE">
        <w:rPr>
          <w:rFonts w:hint="eastAsia"/>
        </w:rPr>
        <w:t>词</w:t>
      </w:r>
      <w:r w:rsidR="00991615">
        <w:rPr>
          <w:rFonts w:hint="eastAsia"/>
        </w:rPr>
        <w:t>：</w:t>
      </w:r>
      <w:r w:rsidRPr="00817D51">
        <w:rPr>
          <w:rFonts w:hint="eastAsia"/>
        </w:rPr>
        <w:t>轮胎式移动</w:t>
      </w:r>
      <w:r>
        <w:rPr>
          <w:rFonts w:hint="eastAsia"/>
        </w:rPr>
        <w:t>、</w:t>
      </w:r>
      <w:r w:rsidR="006C071C">
        <w:rPr>
          <w:rFonts w:hint="eastAsia"/>
        </w:rPr>
        <w:t>装船、堆高、</w:t>
      </w:r>
      <w:r w:rsidR="00991615" w:rsidRPr="00991615">
        <w:rPr>
          <w:rFonts w:hint="eastAsia"/>
        </w:rPr>
        <w:t>效益</w:t>
      </w:r>
      <w:r w:rsidR="00991615">
        <w:rPr>
          <w:rFonts w:hint="eastAsia"/>
        </w:rPr>
        <w:t>、环保</w:t>
      </w:r>
    </w:p>
    <w:p w:rsidR="00392BC5" w:rsidRDefault="00392BC5" w:rsidP="00392BC5">
      <w:pPr>
        <w:ind w:firstLineChars="200" w:firstLine="420"/>
      </w:pPr>
      <w:r>
        <w:rPr>
          <w:rFonts w:hint="eastAsia"/>
        </w:rPr>
        <w:t>“十二五”交通运输发展的总体要求，稳步推进基础设施建设，有序推进沿海港口建</w:t>
      </w:r>
    </w:p>
    <w:p w:rsidR="00392BC5" w:rsidRDefault="00392BC5" w:rsidP="00392BC5">
      <w:r>
        <w:rPr>
          <w:rFonts w:hint="eastAsia"/>
        </w:rPr>
        <w:t>设，完善煤</w:t>
      </w:r>
      <w:r w:rsidR="00AF7F86">
        <w:rPr>
          <w:rFonts w:hint="eastAsia"/>
        </w:rPr>
        <w:t>、</w:t>
      </w:r>
      <w:r>
        <w:rPr>
          <w:rFonts w:hint="eastAsia"/>
        </w:rPr>
        <w:t>油</w:t>
      </w:r>
      <w:r w:rsidR="00AF7F86">
        <w:rPr>
          <w:rFonts w:hint="eastAsia"/>
        </w:rPr>
        <w:t>、</w:t>
      </w:r>
      <w:r>
        <w:rPr>
          <w:rFonts w:hint="eastAsia"/>
        </w:rPr>
        <w:t>矿</w:t>
      </w:r>
      <w:r w:rsidR="00AF7F86">
        <w:rPr>
          <w:rFonts w:hint="eastAsia"/>
        </w:rPr>
        <w:t>、</w:t>
      </w:r>
      <w:r>
        <w:rPr>
          <w:rFonts w:hint="eastAsia"/>
        </w:rPr>
        <w:t>箱等主要货种港口布局，加强资源整合，推进以临港工业为依托的沿海港口新港区开发建设。到</w:t>
      </w:r>
      <w:r>
        <w:rPr>
          <w:rFonts w:hint="eastAsia"/>
        </w:rPr>
        <w:t>201</w:t>
      </w:r>
      <w:r w:rsidR="006110D4">
        <w:rPr>
          <w:rFonts w:hint="eastAsia"/>
        </w:rPr>
        <w:t>8</w:t>
      </w:r>
      <w:r>
        <w:rPr>
          <w:rFonts w:hint="eastAsia"/>
        </w:rPr>
        <w:t>年，我国沿海港口万吨级以上深水泊位适应度达到</w:t>
      </w:r>
      <w:r>
        <w:rPr>
          <w:rFonts w:hint="eastAsia"/>
        </w:rPr>
        <w:t>1.1:1</w:t>
      </w:r>
      <w:r>
        <w:rPr>
          <w:rFonts w:hint="eastAsia"/>
        </w:rPr>
        <w:t>。加快推进长江等内河高等级航道建设，实施南京以下</w:t>
      </w:r>
      <w:r>
        <w:rPr>
          <w:rFonts w:hint="eastAsia"/>
        </w:rPr>
        <w:t xml:space="preserve">12.5m </w:t>
      </w:r>
      <w:r>
        <w:rPr>
          <w:rFonts w:hint="eastAsia"/>
        </w:rPr>
        <w:t>深水航道建设工程、荆江河段治理工程、西江航运干线和京杭运河扩能工程等重点项目。</w:t>
      </w:r>
      <w:r w:rsidR="003E5349">
        <w:rPr>
          <w:rFonts w:hint="eastAsia"/>
        </w:rPr>
        <w:t>一系列项目实施后，将配套建设若干港口</w:t>
      </w:r>
      <w:r w:rsidR="00E2591B">
        <w:rPr>
          <w:rFonts w:hint="eastAsia"/>
        </w:rPr>
        <w:t>，建设什么样的码头，如何投资设备，做到节能化、环保化，利用有限的资源实现效益最大化</w:t>
      </w:r>
      <w:r w:rsidR="003E5349">
        <w:rPr>
          <w:rFonts w:hint="eastAsia"/>
        </w:rPr>
        <w:t>，须改变传统的码头装卸工艺，采用先进的设备，</w:t>
      </w:r>
      <w:r w:rsidR="003E5349" w:rsidRPr="003E5349">
        <w:rPr>
          <w:rFonts w:hint="eastAsia"/>
        </w:rPr>
        <w:t>投资理念</w:t>
      </w:r>
      <w:r w:rsidR="003E5349">
        <w:rPr>
          <w:rFonts w:hint="eastAsia"/>
        </w:rPr>
        <w:t>由</w:t>
      </w:r>
      <w:r w:rsidR="003E5349" w:rsidRPr="003E5349">
        <w:rPr>
          <w:rFonts w:hint="eastAsia"/>
        </w:rPr>
        <w:t>粗放型</w:t>
      </w:r>
      <w:r w:rsidR="003E5349">
        <w:rPr>
          <w:rFonts w:hint="eastAsia"/>
        </w:rPr>
        <w:t>转</w:t>
      </w:r>
      <w:r w:rsidR="003E5349" w:rsidRPr="003E5349">
        <w:rPr>
          <w:rFonts w:hint="eastAsia"/>
        </w:rPr>
        <w:t>向集约型</w:t>
      </w:r>
      <w:r w:rsidR="003E5349">
        <w:rPr>
          <w:rFonts w:hint="eastAsia"/>
        </w:rPr>
        <w:t>。</w:t>
      </w:r>
    </w:p>
    <w:p w:rsidR="00F21F21" w:rsidRDefault="00F21F21" w:rsidP="00F21F21">
      <w:pPr>
        <w:ind w:firstLineChars="200" w:firstLine="420"/>
      </w:pPr>
      <w:r>
        <w:rPr>
          <w:rFonts w:hint="eastAsia"/>
        </w:rPr>
        <w:t>港口码头从用途来讲，分为专用码头和</w:t>
      </w:r>
      <w:bookmarkStart w:id="0" w:name="OLE_LINK1"/>
      <w:r>
        <w:rPr>
          <w:rFonts w:hint="eastAsia"/>
        </w:rPr>
        <w:t>通用码头</w:t>
      </w:r>
      <w:bookmarkEnd w:id="0"/>
      <w:r>
        <w:rPr>
          <w:rFonts w:hint="eastAsia"/>
        </w:rPr>
        <w:t>，</w:t>
      </w:r>
      <w:r w:rsidRPr="00F21F21">
        <w:rPr>
          <w:rFonts w:hint="eastAsia"/>
        </w:rPr>
        <w:t>专用码头</w:t>
      </w:r>
      <w:r>
        <w:rPr>
          <w:rFonts w:hint="eastAsia"/>
        </w:rPr>
        <w:t>一般为项目配套建设，其工艺、设施、</w:t>
      </w:r>
      <w:r w:rsidR="00AA2303">
        <w:rPr>
          <w:rFonts w:hint="eastAsia"/>
        </w:rPr>
        <w:t>能力和主体相适应。</w:t>
      </w:r>
      <w:r w:rsidR="00AA2303" w:rsidRPr="00AA2303">
        <w:rPr>
          <w:rFonts w:hint="eastAsia"/>
        </w:rPr>
        <w:t>通用码头</w:t>
      </w:r>
      <w:r w:rsidR="00AA2303">
        <w:rPr>
          <w:rFonts w:hint="eastAsia"/>
        </w:rPr>
        <w:t>则是发挥临海、江、河的优势，减少陆地运输成本</w:t>
      </w:r>
      <w:r w:rsidR="00C01D89">
        <w:rPr>
          <w:rFonts w:hint="eastAsia"/>
        </w:rPr>
        <w:t>，服务于地方经济建设</w:t>
      </w:r>
      <w:r w:rsidR="00E87FBE">
        <w:rPr>
          <w:rFonts w:hint="eastAsia"/>
        </w:rPr>
        <w:t>，</w:t>
      </w:r>
      <w:r w:rsidR="00DF5EBA">
        <w:rPr>
          <w:rFonts w:hint="eastAsia"/>
        </w:rPr>
        <w:t>根据本地和周边地区的产业链特色进行港口规划。当地方产业比较单一，如单纯进出口</w:t>
      </w:r>
      <w:r w:rsidR="00DF5EBA" w:rsidRPr="001C41D8">
        <w:rPr>
          <w:rFonts w:hint="eastAsia"/>
        </w:rPr>
        <w:t>煤、油、矿、粮</w:t>
      </w:r>
      <w:r w:rsidR="00DF5EBA">
        <w:rPr>
          <w:rFonts w:hint="eastAsia"/>
        </w:rPr>
        <w:t>其中一种，且</w:t>
      </w:r>
      <w:bookmarkStart w:id="1" w:name="OLE_LINK3"/>
      <w:r w:rsidR="00DF5EBA">
        <w:rPr>
          <w:rFonts w:hint="eastAsia"/>
        </w:rPr>
        <w:t>品位</w:t>
      </w:r>
      <w:bookmarkEnd w:id="1"/>
      <w:r w:rsidR="00DF5EBA">
        <w:rPr>
          <w:rFonts w:hint="eastAsia"/>
        </w:rPr>
        <w:t>种类不多，只要根据物料的特性选择装卸设备，流程相对简单。在经济发达地区，港口流转量大，产品品种、</w:t>
      </w:r>
      <w:r w:rsidR="00DF5EBA" w:rsidRPr="00013B3E">
        <w:rPr>
          <w:rFonts w:hint="eastAsia"/>
        </w:rPr>
        <w:t>品位</w:t>
      </w:r>
      <w:r w:rsidR="00DF5EBA">
        <w:rPr>
          <w:rFonts w:hint="eastAsia"/>
        </w:rPr>
        <w:t>多样，交易形式各不相同，需要很长的港口和很大的码头。改革开发以来，我国经济发展突飞猛进，许多港口原来设计很小，而改扩建难度相当大，有的港口周边已经发展成小镇，码头无法向纵深发展。有的码头设计时只服务一种物料，随着时间的推移，增加了其他品种物料，这就需要在原有码头腾出空间。有的港口为了适应大型船只，</w:t>
      </w:r>
      <w:r w:rsidR="00DF5EBA" w:rsidRPr="001F54CC">
        <w:rPr>
          <w:rFonts w:hint="eastAsia"/>
        </w:rPr>
        <w:t>泊位</w:t>
      </w:r>
      <w:r w:rsidR="00DF5EBA">
        <w:rPr>
          <w:rFonts w:hint="eastAsia"/>
        </w:rPr>
        <w:t>设计在江或海中，离码头有一定距离，通过卡车来回奔波装卸，效益很差。针对以上情况，现介绍几种设备，帮助港口提高效益、增强环保、节约能耗、扩大产能、增加功能。</w:t>
      </w:r>
      <w:r w:rsidR="00C01D89">
        <w:rPr>
          <w:rFonts w:hint="eastAsia"/>
        </w:rPr>
        <w:t>本文仅对</w:t>
      </w:r>
      <w:bookmarkStart w:id="2" w:name="OLE_LINK2"/>
      <w:r w:rsidR="00C01D89" w:rsidRPr="00C01D89">
        <w:rPr>
          <w:rFonts w:hint="eastAsia"/>
        </w:rPr>
        <w:t>通用码头</w:t>
      </w:r>
      <w:bookmarkEnd w:id="2"/>
      <w:r w:rsidR="00C01D89">
        <w:rPr>
          <w:rFonts w:hint="eastAsia"/>
        </w:rPr>
        <w:t>如何改造和投资进行</w:t>
      </w:r>
      <w:r w:rsidR="0025032D">
        <w:rPr>
          <w:rFonts w:hint="eastAsia"/>
        </w:rPr>
        <w:t>简单</w:t>
      </w:r>
      <w:r w:rsidR="00C01D89">
        <w:rPr>
          <w:rFonts w:hint="eastAsia"/>
        </w:rPr>
        <w:t>介绍。</w:t>
      </w:r>
    </w:p>
    <w:p w:rsidR="00697746" w:rsidRPr="00CD72E4" w:rsidRDefault="00697746" w:rsidP="009F03E6">
      <w:pPr>
        <w:rPr>
          <w:rFonts w:ascii="黑体" w:eastAsia="黑体"/>
          <w:color w:val="548DD4" w:themeColor="text2" w:themeTint="99"/>
        </w:rPr>
      </w:pPr>
      <w:bookmarkStart w:id="3" w:name="OLE_LINK19"/>
      <w:bookmarkStart w:id="4" w:name="OLE_LINK20"/>
      <w:r w:rsidRPr="00CD72E4">
        <w:rPr>
          <w:rFonts w:ascii="黑体" w:eastAsia="黑体" w:hint="eastAsia"/>
          <w:color w:val="548DD4" w:themeColor="text2" w:themeTint="99"/>
        </w:rPr>
        <w:t>轮胎式移动</w:t>
      </w:r>
      <w:bookmarkEnd w:id="3"/>
      <w:bookmarkEnd w:id="4"/>
      <w:r w:rsidRPr="00CD72E4">
        <w:rPr>
          <w:rFonts w:ascii="黑体" w:eastAsia="黑体" w:hint="eastAsia"/>
          <w:color w:val="548DD4" w:themeColor="text2" w:themeTint="99"/>
        </w:rPr>
        <w:t>装船机</w:t>
      </w:r>
    </w:p>
    <w:p w:rsidR="00CA1AFD" w:rsidRDefault="00CA1AFD" w:rsidP="009F03E6">
      <w:r>
        <w:rPr>
          <w:noProof/>
        </w:rPr>
        <w:drawing>
          <wp:inline distT="0" distB="0" distL="0" distR="0">
            <wp:extent cx="5066665" cy="2114550"/>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6665" cy="2114550"/>
                    </a:xfrm>
                    <a:prstGeom prst="rect">
                      <a:avLst/>
                    </a:prstGeom>
                    <a:noFill/>
                  </pic:spPr>
                </pic:pic>
              </a:graphicData>
            </a:graphic>
          </wp:inline>
        </w:drawing>
      </w:r>
    </w:p>
    <w:p w:rsidR="00CA5BDF" w:rsidRDefault="003B5AE3" w:rsidP="00F2684F">
      <w:pPr>
        <w:ind w:firstLineChars="200" w:firstLine="420"/>
      </w:pPr>
      <w:r>
        <w:rPr>
          <w:rFonts w:hint="eastAsia"/>
        </w:rPr>
        <w:t>设备特点：</w:t>
      </w:r>
      <w:r w:rsidR="00F2684F">
        <w:rPr>
          <w:rFonts w:hint="eastAsia"/>
        </w:rPr>
        <w:t>本</w:t>
      </w:r>
      <w:r w:rsidR="00F2684F" w:rsidRPr="00F2684F">
        <w:rPr>
          <w:rFonts w:hint="eastAsia"/>
        </w:rPr>
        <w:t>装船</w:t>
      </w:r>
      <w:r w:rsidR="00F2684F">
        <w:rPr>
          <w:rFonts w:hint="eastAsia"/>
        </w:rPr>
        <w:t>机是一套完全独立的系统，其结构简单合理、性能完备、使用可靠、稳定性好、维修方便。设备通用性强，生产效率高，适用于各种散货物料的装船作业</w:t>
      </w:r>
      <w:r w:rsidR="00CD72E4" w:rsidRPr="00CD72E4">
        <w:rPr>
          <w:rFonts w:hint="eastAsia"/>
        </w:rPr>
        <w:t>，装卸能力能达到</w:t>
      </w:r>
      <w:r w:rsidR="00CD72E4" w:rsidRPr="00CD72E4">
        <w:rPr>
          <w:rFonts w:hint="eastAsia"/>
        </w:rPr>
        <w:t>600M</w:t>
      </w:r>
      <w:r w:rsidR="00CD72E4" w:rsidRPr="00CD72E4">
        <w:rPr>
          <w:rFonts w:hint="eastAsia"/>
          <w:vertAlign w:val="superscript"/>
        </w:rPr>
        <w:t>3</w:t>
      </w:r>
      <w:r w:rsidR="00CD72E4" w:rsidRPr="00CD72E4">
        <w:rPr>
          <w:rFonts w:hint="eastAsia"/>
        </w:rPr>
        <w:t>/</w:t>
      </w:r>
      <w:r w:rsidR="00CD72E4" w:rsidRPr="00CD72E4">
        <w:rPr>
          <w:rFonts w:hint="eastAsia"/>
        </w:rPr>
        <w:t>小时</w:t>
      </w:r>
      <w:r w:rsidR="00F2684F">
        <w:rPr>
          <w:rFonts w:hint="eastAsia"/>
        </w:rPr>
        <w:t>。</w:t>
      </w:r>
      <w:r w:rsidR="00991615" w:rsidRPr="00991615">
        <w:rPr>
          <w:rFonts w:hint="eastAsia"/>
        </w:rPr>
        <w:t>移动式装船机与常规装船机相比较，它的能耗是常规的</w:t>
      </w:r>
      <w:r w:rsidR="00991615" w:rsidRPr="00991615">
        <w:rPr>
          <w:rFonts w:hint="eastAsia"/>
        </w:rPr>
        <w:t>60%</w:t>
      </w:r>
      <w:r w:rsidR="00991615" w:rsidRPr="00991615">
        <w:rPr>
          <w:rFonts w:hint="eastAsia"/>
        </w:rPr>
        <w:t>，大大节省了投资和资源损耗。</w:t>
      </w:r>
      <w:r w:rsidR="00CD72E4" w:rsidRPr="00CD72E4">
        <w:rPr>
          <w:rFonts w:hint="eastAsia"/>
        </w:rPr>
        <w:t>船型从小型驳船到巴拿马型船。无须在码头布置固定轨道，可移动到任意位置；</w:t>
      </w:r>
      <w:r w:rsidR="00CA5BDF">
        <w:rPr>
          <w:rFonts w:hint="eastAsia"/>
        </w:rPr>
        <w:t>可采用自卸卡车、装载机或皮带输送机直接向装船机进料，</w:t>
      </w:r>
      <w:r w:rsidR="00CA5BDF" w:rsidRPr="00CA5BDF">
        <w:rPr>
          <w:rFonts w:hint="eastAsia"/>
        </w:rPr>
        <w:t>采用自卸卡车、装载机</w:t>
      </w:r>
      <w:r>
        <w:rPr>
          <w:rFonts w:hint="eastAsia"/>
        </w:rPr>
        <w:t>配套具有稳流、储存功能的进料装置。</w:t>
      </w:r>
    </w:p>
    <w:p w:rsidR="005032EA" w:rsidRDefault="005032EA" w:rsidP="00F2684F">
      <w:pPr>
        <w:ind w:firstLineChars="200" w:firstLine="420"/>
      </w:pPr>
      <w:r>
        <w:rPr>
          <w:rFonts w:hint="eastAsia"/>
        </w:rPr>
        <w:t>工作原理</w:t>
      </w:r>
      <w:r w:rsidR="00F2684F">
        <w:rPr>
          <w:rFonts w:hint="eastAsia"/>
        </w:rPr>
        <w:t>：</w:t>
      </w:r>
      <w:r>
        <w:rPr>
          <w:rFonts w:hint="eastAsia"/>
        </w:rPr>
        <w:t>物料通过装船机上皮带机输送至头部经伸缩溜筒落下对船舶装载。在装载过程中，通过整机行走机构的单独或组合动作完成对不同形式船舱进行装载，达到装船目的。另外伸缩溜筒机构、臂架俯仰的动作可适应不同水位及被装船舶物料高度的变化。</w:t>
      </w:r>
    </w:p>
    <w:p w:rsidR="003B5AE3" w:rsidRDefault="003B5AE3" w:rsidP="005032EA">
      <w:pPr>
        <w:ind w:firstLineChars="200" w:firstLine="420"/>
      </w:pPr>
      <w:r>
        <w:rPr>
          <w:rFonts w:hint="eastAsia"/>
        </w:rPr>
        <w:lastRenderedPageBreak/>
        <w:t>适用范围：</w:t>
      </w:r>
      <w:r w:rsidR="005032EA" w:rsidRPr="005032EA">
        <w:rPr>
          <w:rFonts w:hint="eastAsia"/>
        </w:rPr>
        <w:t>当原有设施不能满足新材料的装船时，当需要提高港口运营能力时，当港口货物的品种多样化时，</w:t>
      </w:r>
      <w:r w:rsidR="00E57B87">
        <w:rPr>
          <w:rFonts w:hint="eastAsia"/>
        </w:rPr>
        <w:t>当租赁码头发运自有特殊产品时，</w:t>
      </w:r>
      <w:r w:rsidR="005032EA" w:rsidRPr="005032EA">
        <w:rPr>
          <w:rFonts w:hint="eastAsia"/>
        </w:rPr>
        <w:t>移动式装船机是其理想的选择。</w:t>
      </w:r>
    </w:p>
    <w:p w:rsidR="003B5AE3" w:rsidRPr="00CD72E4" w:rsidRDefault="003B5AE3" w:rsidP="009F03E6">
      <w:pPr>
        <w:rPr>
          <w:rFonts w:ascii="黑体" w:eastAsia="黑体"/>
          <w:color w:val="548DD4" w:themeColor="text2" w:themeTint="99"/>
        </w:rPr>
      </w:pPr>
      <w:r w:rsidRPr="00CD72E4">
        <w:rPr>
          <w:rFonts w:ascii="黑体" w:eastAsia="黑体" w:hint="eastAsia"/>
          <w:color w:val="548DD4" w:themeColor="text2" w:themeTint="99"/>
        </w:rPr>
        <w:t>轮胎式移动堆料装置</w:t>
      </w:r>
    </w:p>
    <w:p w:rsidR="00F5116D" w:rsidRDefault="00CA1AFD" w:rsidP="009F03E6">
      <w:r>
        <w:rPr>
          <w:noProof/>
        </w:rPr>
        <w:drawing>
          <wp:inline distT="0" distB="0" distL="0" distR="0">
            <wp:extent cx="5438140" cy="29235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38140" cy="2923540"/>
                    </a:xfrm>
                    <a:prstGeom prst="rect">
                      <a:avLst/>
                    </a:prstGeom>
                    <a:noFill/>
                  </pic:spPr>
                </pic:pic>
              </a:graphicData>
            </a:graphic>
          </wp:inline>
        </w:drawing>
      </w:r>
    </w:p>
    <w:p w:rsidR="000D3201" w:rsidRDefault="00CD72E4" w:rsidP="002F0D66">
      <w:pPr>
        <w:ind w:firstLineChars="200" w:firstLine="420"/>
      </w:pPr>
      <w:bookmarkStart w:id="5" w:name="OLE_LINK9"/>
      <w:bookmarkStart w:id="6" w:name="OLE_LINK10"/>
      <w:r w:rsidRPr="00CD72E4">
        <w:rPr>
          <w:rFonts w:hint="eastAsia"/>
        </w:rPr>
        <w:t>设备特点：</w:t>
      </w:r>
      <w:bookmarkEnd w:id="5"/>
      <w:bookmarkEnd w:id="6"/>
      <w:r w:rsidRPr="00CD72E4">
        <w:rPr>
          <w:rFonts w:hint="eastAsia"/>
        </w:rPr>
        <w:t>堆料能力：</w:t>
      </w:r>
      <w:r w:rsidRPr="00CD72E4">
        <w:rPr>
          <w:rFonts w:hint="eastAsia"/>
        </w:rPr>
        <w:t>600M</w:t>
      </w:r>
      <w:r w:rsidRPr="00CD72E4">
        <w:rPr>
          <w:rFonts w:hint="eastAsia"/>
          <w:vertAlign w:val="superscript"/>
        </w:rPr>
        <w:t>3</w:t>
      </w:r>
      <w:r w:rsidRPr="00CD72E4">
        <w:rPr>
          <w:rFonts w:hint="eastAsia"/>
        </w:rPr>
        <w:t>/</w:t>
      </w:r>
      <w:r w:rsidRPr="00CD72E4">
        <w:rPr>
          <w:rFonts w:hint="eastAsia"/>
        </w:rPr>
        <w:t>小时；堆料高度：</w:t>
      </w:r>
      <w:r w:rsidRPr="00CD72E4">
        <w:rPr>
          <w:rFonts w:hint="eastAsia"/>
        </w:rPr>
        <w:t>12.5</w:t>
      </w:r>
      <w:r w:rsidRPr="00CD72E4">
        <w:rPr>
          <w:rFonts w:hint="eastAsia"/>
        </w:rPr>
        <w:t>米。输送臂架具有上下俯仰和左右旋转功能，极大提高堆料效率。</w:t>
      </w:r>
      <w:r w:rsidR="000D3201" w:rsidRPr="000D3201">
        <w:rPr>
          <w:rFonts w:hint="eastAsia"/>
        </w:rPr>
        <w:t>进料装置具备稳流功能，保证连续、均匀、平稳地供料；整套系统实现了环保堆料，</w:t>
      </w:r>
      <w:r w:rsidR="00CA1AFD">
        <w:rPr>
          <w:rFonts w:hint="eastAsia"/>
        </w:rPr>
        <w:t>采用液压油缸悬臂拉杆或采用液压油缸推动升降，</w:t>
      </w:r>
      <w:r w:rsidR="000D3201" w:rsidRPr="000D3201">
        <w:rPr>
          <w:rFonts w:hint="eastAsia"/>
        </w:rPr>
        <w:t>使卸料点降到最低水平，减少物料降落的距</w:t>
      </w:r>
      <w:r w:rsidR="002F0D66">
        <w:rPr>
          <w:rFonts w:hint="eastAsia"/>
        </w:rPr>
        <w:t>离；当输送有尘物料时，进料装置设计为厢式，进料口处增加橡胶帘罩</w:t>
      </w:r>
      <w:r w:rsidR="002F0D66" w:rsidRPr="000D3201">
        <w:rPr>
          <w:rFonts w:hint="eastAsia"/>
        </w:rPr>
        <w:t>，材料中含铁杂质时可配套高性能除铁器。</w:t>
      </w:r>
    </w:p>
    <w:p w:rsidR="00CA1AFD" w:rsidRDefault="000D3201" w:rsidP="002F0D66">
      <w:pPr>
        <w:ind w:firstLineChars="200" w:firstLine="420"/>
      </w:pPr>
      <w:bookmarkStart w:id="7" w:name="OLE_LINK11"/>
      <w:bookmarkStart w:id="8" w:name="OLE_LINK12"/>
      <w:r>
        <w:rPr>
          <w:rFonts w:hint="eastAsia"/>
        </w:rPr>
        <w:t>工作原理</w:t>
      </w:r>
      <w:r w:rsidR="002F0D66">
        <w:rPr>
          <w:rFonts w:hint="eastAsia"/>
        </w:rPr>
        <w:t>：</w:t>
      </w:r>
      <w:bookmarkEnd w:id="7"/>
      <w:bookmarkEnd w:id="8"/>
      <w:r w:rsidR="00CA1AFD" w:rsidRPr="002D33EA">
        <w:rPr>
          <w:rFonts w:hint="eastAsia"/>
        </w:rPr>
        <w:t>移动堆料机自行到计划堆料的适当位置，自卸汽车或装载机</w:t>
      </w:r>
      <w:r w:rsidR="002F0D66" w:rsidRPr="000D3201">
        <w:rPr>
          <w:rFonts w:hint="eastAsia"/>
        </w:rPr>
        <w:t>以最快的速度</w:t>
      </w:r>
      <w:r w:rsidR="00CA1AFD" w:rsidRPr="002D33EA">
        <w:rPr>
          <w:rFonts w:hint="eastAsia"/>
        </w:rPr>
        <w:t>将料倒进箱式进料料斗内，</w:t>
      </w:r>
      <w:r w:rsidR="002F0D66" w:rsidRPr="000D3201">
        <w:rPr>
          <w:rFonts w:hint="eastAsia"/>
        </w:rPr>
        <w:t>极大提高了运营能力</w:t>
      </w:r>
      <w:r w:rsidR="002F0D66">
        <w:rPr>
          <w:rFonts w:hint="eastAsia"/>
        </w:rPr>
        <w:t>，</w:t>
      </w:r>
      <w:r w:rsidR="002D33EA" w:rsidRPr="002D33EA">
        <w:rPr>
          <w:rFonts w:hint="eastAsia"/>
        </w:rPr>
        <w:t>通过</w:t>
      </w:r>
      <w:r w:rsidR="00CA1AFD" w:rsidRPr="002D33EA">
        <w:rPr>
          <w:rFonts w:hint="eastAsia"/>
        </w:rPr>
        <w:t>臂架上皮带机系统将物料</w:t>
      </w:r>
      <w:r w:rsidR="00E57B87">
        <w:rPr>
          <w:rFonts w:hint="eastAsia"/>
        </w:rPr>
        <w:t>抬高</w:t>
      </w:r>
      <w:r w:rsidR="00CA1AFD" w:rsidRPr="002D33EA">
        <w:rPr>
          <w:rFonts w:hint="eastAsia"/>
        </w:rPr>
        <w:t>送至</w:t>
      </w:r>
      <w:r w:rsidR="002F0D66">
        <w:rPr>
          <w:rFonts w:hint="eastAsia"/>
        </w:rPr>
        <w:t>堆场</w:t>
      </w:r>
      <w:r w:rsidR="002D33EA" w:rsidRPr="002D33EA">
        <w:rPr>
          <w:rFonts w:hint="eastAsia"/>
        </w:rPr>
        <w:t>。</w:t>
      </w:r>
      <w:r w:rsidR="00CA1AFD" w:rsidRPr="002D33EA">
        <w:rPr>
          <w:rFonts w:hint="eastAsia"/>
        </w:rPr>
        <w:t>通过移动堆料装置</w:t>
      </w:r>
      <w:r w:rsidR="002D33EA" w:rsidRPr="002D33EA">
        <w:rPr>
          <w:rFonts w:hint="eastAsia"/>
        </w:rPr>
        <w:t>及臂架</w:t>
      </w:r>
      <w:r w:rsidR="00CA1AFD" w:rsidRPr="002D33EA">
        <w:rPr>
          <w:rFonts w:hint="eastAsia"/>
        </w:rPr>
        <w:t>可上下俯仰和左右旋转及溜筒前后摆动，以保证物料均匀分布到各个位置</w:t>
      </w:r>
      <w:r w:rsidR="002D33EA" w:rsidRPr="002D33EA">
        <w:rPr>
          <w:rFonts w:hint="eastAsia"/>
        </w:rPr>
        <w:t>，从而实现堆料装置连续作业。</w:t>
      </w:r>
    </w:p>
    <w:p w:rsidR="002F0D66" w:rsidRPr="002F0D66" w:rsidRDefault="002F0D66" w:rsidP="002F0D66">
      <w:pPr>
        <w:ind w:firstLineChars="200" w:firstLine="420"/>
      </w:pPr>
      <w:r w:rsidRPr="002F0D66">
        <w:rPr>
          <w:rFonts w:hint="eastAsia"/>
        </w:rPr>
        <w:t>适用范围：</w:t>
      </w:r>
      <w:r w:rsidRPr="000D3201">
        <w:rPr>
          <w:rFonts w:hint="eastAsia"/>
        </w:rPr>
        <w:t>对于材料稳定的大型堆场可采用固定式堆取料机，而对于临时堆场采用装载机堆料效率很差，颗粒小的物料很难堆到一定高度，且有很大的危险性；颗粒大的物料装载机来回碾压会破坏物料结构，产生经济损失；目前市场上有简易的堆料装置，其存在以下缺点：堆料效率差</w:t>
      </w:r>
      <w:r w:rsidR="00E87FBE">
        <w:rPr>
          <w:rFonts w:hint="eastAsia"/>
        </w:rPr>
        <w:t>，</w:t>
      </w:r>
      <w:r w:rsidRPr="000D3201">
        <w:rPr>
          <w:rFonts w:hint="eastAsia"/>
        </w:rPr>
        <w:t>堆料高度低</w:t>
      </w:r>
      <w:r w:rsidR="00E87FBE">
        <w:rPr>
          <w:rFonts w:hint="eastAsia"/>
        </w:rPr>
        <w:t>，</w:t>
      </w:r>
      <w:r w:rsidRPr="000D3201">
        <w:rPr>
          <w:rFonts w:hint="eastAsia"/>
        </w:rPr>
        <w:t>不适应有粉尘物料。</w:t>
      </w:r>
    </w:p>
    <w:p w:rsidR="000D3201" w:rsidRDefault="000D3201" w:rsidP="000D3201">
      <w:pPr>
        <w:rPr>
          <w:rFonts w:ascii="黑体" w:eastAsia="黑体"/>
          <w:color w:val="548DD4" w:themeColor="text2" w:themeTint="99"/>
        </w:rPr>
      </w:pPr>
      <w:r w:rsidRPr="002F0D66">
        <w:rPr>
          <w:rFonts w:ascii="黑体" w:eastAsia="黑体" w:hint="eastAsia"/>
          <w:color w:val="548DD4" w:themeColor="text2" w:themeTint="99"/>
        </w:rPr>
        <w:t>轮胎式移动皮带输送装置</w:t>
      </w:r>
    </w:p>
    <w:p w:rsidR="006110D4" w:rsidRPr="002F0D66" w:rsidRDefault="006110D4" w:rsidP="000D3201">
      <w:pPr>
        <w:rPr>
          <w:rFonts w:ascii="黑体" w:eastAsia="黑体"/>
          <w:color w:val="548DD4" w:themeColor="text2" w:themeTint="99"/>
        </w:rPr>
      </w:pPr>
      <w:r w:rsidRPr="006110D4">
        <w:rPr>
          <w:rFonts w:ascii="黑体" w:eastAsia="黑体"/>
          <w:noProof/>
          <w:color w:val="548DD4" w:themeColor="text2" w:themeTint="99"/>
        </w:rPr>
        <w:drawing>
          <wp:inline distT="0" distB="0" distL="0" distR="0">
            <wp:extent cx="3627979" cy="2040684"/>
            <wp:effectExtent l="19050" t="0" r="0" b="0"/>
            <wp:docPr id="1" name="图片 1" descr="E:\视频\项目照片\澳大利亚图片\7217230242276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视频\项目照片\澳大利亚图片\721723024227618592.jpg"/>
                    <pic:cNvPicPr>
                      <a:picLocks noChangeAspect="1" noChangeArrowheads="1"/>
                    </pic:cNvPicPr>
                  </pic:nvPicPr>
                  <pic:blipFill>
                    <a:blip r:embed="rId10" cstate="print"/>
                    <a:srcRect/>
                    <a:stretch>
                      <a:fillRect/>
                    </a:stretch>
                  </pic:blipFill>
                  <pic:spPr>
                    <a:xfrm>
                      <a:off x="0" y="0"/>
                      <a:ext cx="3630959" cy="2042360"/>
                    </a:xfrm>
                    <a:prstGeom prst="rect">
                      <a:avLst/>
                    </a:prstGeom>
                    <a:noFill/>
                    <a:ln w="9525">
                      <a:noFill/>
                      <a:miter lim="800000"/>
                      <a:headEnd/>
                      <a:tailEnd/>
                    </a:ln>
                  </pic:spPr>
                </pic:pic>
              </a:graphicData>
            </a:graphic>
          </wp:inline>
        </w:drawing>
      </w:r>
    </w:p>
    <w:p w:rsidR="00211614" w:rsidRDefault="006110D4" w:rsidP="006110D4">
      <w:pPr>
        <w:adjustRightInd w:val="0"/>
        <w:snapToGrid w:val="0"/>
        <w:jc w:val="center"/>
      </w:pPr>
      <w:r w:rsidRPr="006110D4">
        <w:rPr>
          <w:noProof/>
        </w:rPr>
        <w:lastRenderedPageBreak/>
        <w:drawing>
          <wp:inline distT="0" distB="0" distL="0" distR="0">
            <wp:extent cx="4235827" cy="3176615"/>
            <wp:effectExtent l="19050" t="0" r="0" b="0"/>
            <wp:docPr id="3" name="图片 2" descr="E:\视频\项目照片\湄洲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视频\项目照片\湄洲湾\1.jpg"/>
                    <pic:cNvPicPr>
                      <a:picLocks noChangeAspect="1" noChangeArrowheads="1"/>
                    </pic:cNvPicPr>
                  </pic:nvPicPr>
                  <pic:blipFill>
                    <a:blip r:embed="rId11" cstate="print"/>
                    <a:srcRect/>
                    <a:stretch>
                      <a:fillRect/>
                    </a:stretch>
                  </pic:blipFill>
                  <pic:spPr>
                    <a:xfrm>
                      <a:off x="0" y="0"/>
                      <a:ext cx="4237781" cy="3178081"/>
                    </a:xfrm>
                    <a:prstGeom prst="rect">
                      <a:avLst/>
                    </a:prstGeom>
                    <a:noFill/>
                    <a:ln w="9525">
                      <a:noFill/>
                      <a:miter lim="800000"/>
                      <a:headEnd/>
                      <a:tailEnd/>
                    </a:ln>
                  </pic:spPr>
                </pic:pic>
              </a:graphicData>
            </a:graphic>
          </wp:inline>
        </w:drawing>
      </w:r>
      <w:r w:rsidR="006063C2" w:rsidRPr="00211614">
        <w:rPr>
          <w:rFonts w:ascii="Arial" w:eastAsia="宋体" w:hAnsi="Arial" w:cs="Arial" w:hint="eastAsia"/>
          <w:noProof/>
          <w:sz w:val="24"/>
          <w:szCs w:val="24"/>
        </w:rPr>
        <w:drawing>
          <wp:anchor distT="0" distB="0" distL="114300" distR="114300" simplePos="0" relativeHeight="251685888" behindDoc="1" locked="0" layoutInCell="0" allowOverlap="1">
            <wp:simplePos x="0" y="0"/>
            <wp:positionH relativeFrom="page">
              <wp:posOffset>3815080</wp:posOffset>
            </wp:positionH>
            <wp:positionV relativeFrom="page">
              <wp:posOffset>5184140</wp:posOffset>
            </wp:positionV>
            <wp:extent cx="2584450" cy="1428750"/>
            <wp:effectExtent l="0" t="0" r="6350" b="0"/>
            <wp:wrapSquare wrapText="bothSides"/>
            <wp:docPr id="28"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pic:cNvPicPr>
                      <a:picLocks noChangeAspect="1" noChangeArrowheads="1"/>
                    </pic:cNvPicPr>
                  </pic:nvPicPr>
                  <pic:blipFill>
                    <a:blip r:embed="rId12" cstate="print"/>
                    <a:srcRect/>
                    <a:stretch>
                      <a:fillRect/>
                    </a:stretch>
                  </pic:blipFill>
                  <pic:spPr bwMode="auto">
                    <a:xfrm>
                      <a:off x="0" y="0"/>
                      <a:ext cx="2584450" cy="1428750"/>
                    </a:xfrm>
                    <a:prstGeom prst="rect">
                      <a:avLst/>
                    </a:prstGeom>
                    <a:noFill/>
                    <a:ln w="9525">
                      <a:noFill/>
                      <a:miter lim="800000"/>
                      <a:headEnd/>
                      <a:tailEnd/>
                    </a:ln>
                  </pic:spPr>
                </pic:pic>
              </a:graphicData>
            </a:graphic>
          </wp:anchor>
        </w:drawing>
      </w:r>
    </w:p>
    <w:p w:rsidR="000D3201" w:rsidRPr="000D3201" w:rsidRDefault="002F0D66" w:rsidP="000D3201">
      <w:pPr>
        <w:adjustRightInd w:val="0"/>
        <w:snapToGrid w:val="0"/>
        <w:ind w:firstLine="482"/>
      </w:pPr>
      <w:r w:rsidRPr="002F0D66">
        <w:rPr>
          <w:rFonts w:hint="eastAsia"/>
        </w:rPr>
        <w:t>设备特点：</w:t>
      </w:r>
      <w:r w:rsidR="000D3201" w:rsidRPr="000D3201">
        <w:rPr>
          <w:rFonts w:hint="eastAsia"/>
        </w:rPr>
        <w:t>轮胎式皮带输送系统采用将</w:t>
      </w:r>
      <w:r w:rsidR="000D3201" w:rsidRPr="000D3201">
        <w:t>皮带机系统</w:t>
      </w:r>
      <w:r w:rsidR="000D3201" w:rsidRPr="000D3201">
        <w:rPr>
          <w:rFonts w:hint="eastAsia"/>
        </w:rPr>
        <w:t>安装在任意位置自由移动的</w:t>
      </w:r>
      <w:r w:rsidR="000D3201" w:rsidRPr="000D3201">
        <w:t>行走机构</w:t>
      </w:r>
      <w:r w:rsidR="000D3201" w:rsidRPr="000D3201">
        <w:rPr>
          <w:rFonts w:hint="eastAsia"/>
        </w:rPr>
        <w:t>上，</w:t>
      </w:r>
      <w:r w:rsidR="000D3201" w:rsidRPr="000D3201">
        <w:t>行走机构</w:t>
      </w:r>
      <w:r w:rsidR="000D3201" w:rsidRPr="000D3201">
        <w:rPr>
          <w:rFonts w:hint="eastAsia"/>
        </w:rPr>
        <w:t>的</w:t>
      </w:r>
      <w:r w:rsidR="000D3201" w:rsidRPr="000D3201">
        <w:t>行走</w:t>
      </w:r>
      <w:r w:rsidR="00537E22">
        <w:rPr>
          <w:rFonts w:hint="eastAsia"/>
        </w:rPr>
        <w:t>轮采用轮胎模式</w:t>
      </w:r>
      <w:r w:rsidR="000D3201" w:rsidRPr="000D3201">
        <w:rPr>
          <w:rFonts w:hint="eastAsia"/>
        </w:rPr>
        <w:t>。皮带输送系统</w:t>
      </w:r>
      <w:r w:rsidR="000D3201" w:rsidRPr="000D3201">
        <w:t>臂架</w:t>
      </w:r>
      <w:r w:rsidR="000D3201" w:rsidRPr="000D3201">
        <w:rPr>
          <w:rFonts w:hint="eastAsia"/>
        </w:rPr>
        <w:t>可以调节高度，输送装置具有水平调整功能</w:t>
      </w:r>
      <w:r w:rsidR="00537E22">
        <w:rPr>
          <w:rFonts w:hint="eastAsia"/>
        </w:rPr>
        <w:t>，</w:t>
      </w:r>
      <w:r w:rsidR="00537E22" w:rsidRPr="000D3201">
        <w:rPr>
          <w:rFonts w:hint="eastAsia"/>
        </w:rPr>
        <w:t>确保该装置在水平状态下运行</w:t>
      </w:r>
      <w:r w:rsidR="000D3201" w:rsidRPr="000D3201">
        <w:rPr>
          <w:rFonts w:hint="eastAsia"/>
        </w:rPr>
        <w:t>；</w:t>
      </w:r>
      <w:r w:rsidR="00537E22" w:rsidRPr="000D3201">
        <w:rPr>
          <w:rFonts w:hint="eastAsia"/>
        </w:rPr>
        <w:t>只要保证物料输送需要的角度，该装置可以通过调节</w:t>
      </w:r>
      <w:r w:rsidR="00537E22" w:rsidRPr="000D3201">
        <w:t>臂架</w:t>
      </w:r>
      <w:r w:rsidR="00537E22" w:rsidRPr="000D3201">
        <w:rPr>
          <w:rFonts w:hint="eastAsia"/>
        </w:rPr>
        <w:t>高度，在复杂的地形中输送物料；</w:t>
      </w:r>
      <w:r w:rsidR="000D3201" w:rsidRPr="000D3201">
        <w:rPr>
          <w:rFonts w:hint="eastAsia"/>
        </w:rPr>
        <w:t>进出料口实行标准连接，每套装置是独立的输送系统，若干套皮带输送装置首尾连接可以实现长距离输送；进料端可配套移动式进料装置或移动式漏斗，输送到末端时，为方便出料口与接受装置的友好衔接，采用移动伸缩式皮带输送装置</w:t>
      </w:r>
      <w:r w:rsidR="00537E22" w:rsidRPr="000D3201">
        <w:rPr>
          <w:rFonts w:hint="eastAsia"/>
        </w:rPr>
        <w:t>；输送有尘物料配套高效的移动式除尘设施。</w:t>
      </w:r>
    </w:p>
    <w:p w:rsidR="002F0D66" w:rsidRDefault="000D3201" w:rsidP="00BA44D1">
      <w:pPr>
        <w:adjustRightInd w:val="0"/>
        <w:snapToGrid w:val="0"/>
        <w:ind w:firstLineChars="200" w:firstLine="420"/>
      </w:pPr>
      <w:r w:rsidRPr="000D3201">
        <w:rPr>
          <w:rFonts w:hint="eastAsia"/>
        </w:rPr>
        <w:t>工作原理</w:t>
      </w:r>
      <w:r w:rsidR="002F0D66">
        <w:rPr>
          <w:rFonts w:hint="eastAsia"/>
        </w:rPr>
        <w:t>：</w:t>
      </w:r>
      <w:r w:rsidRPr="000D3201">
        <w:rPr>
          <w:rFonts w:hint="eastAsia"/>
        </w:rPr>
        <w:t>该装置迁移到位后，通过</w:t>
      </w:r>
      <w:r w:rsidRPr="000D3201">
        <w:t>臂架</w:t>
      </w:r>
      <w:r w:rsidRPr="000D3201">
        <w:rPr>
          <w:rFonts w:hint="eastAsia"/>
        </w:rPr>
        <w:t>调节</w:t>
      </w:r>
      <w:r w:rsidRPr="000D3201">
        <w:t>机构</w:t>
      </w:r>
      <w:r w:rsidRPr="000D3201">
        <w:rPr>
          <w:rFonts w:hint="eastAsia"/>
        </w:rPr>
        <w:t>将出料端调整到可以与下一节衔接的高度，通过水平调节</w:t>
      </w:r>
      <w:r w:rsidRPr="000D3201">
        <w:t>机构</w:t>
      </w:r>
      <w:r w:rsidRPr="000D3201">
        <w:rPr>
          <w:rFonts w:hint="eastAsia"/>
        </w:rPr>
        <w:t>将系统调整到</w:t>
      </w:r>
      <w:r w:rsidR="00537E22">
        <w:rPr>
          <w:rFonts w:hint="eastAsia"/>
        </w:rPr>
        <w:t>工作</w:t>
      </w:r>
      <w:r w:rsidRPr="000D3201">
        <w:rPr>
          <w:rFonts w:hint="eastAsia"/>
        </w:rPr>
        <w:t>状态，然后固定各个支撑点，运行时以支撑点受力保护轮胎。</w:t>
      </w:r>
    </w:p>
    <w:p w:rsidR="000D3201" w:rsidRPr="000D3201" w:rsidRDefault="002F0D66" w:rsidP="00BA44D1">
      <w:pPr>
        <w:adjustRightInd w:val="0"/>
        <w:snapToGrid w:val="0"/>
        <w:ind w:firstLine="482"/>
      </w:pPr>
      <w:r w:rsidRPr="002F0D66">
        <w:rPr>
          <w:rFonts w:hint="eastAsia"/>
        </w:rPr>
        <w:t>适用范围：</w:t>
      </w:r>
      <w:r w:rsidRPr="000D3201">
        <w:rPr>
          <w:rFonts w:hint="eastAsia"/>
        </w:rPr>
        <w:t>码头装船时船与原料堆场之间的距离具有不确定性；租用码头输送临时性材料；在一定区间架设固定式输送系统具有不经济性；原料堆场之间相互补料；需要</w:t>
      </w:r>
      <w:r w:rsidRPr="000D3201">
        <w:t>提供一种</w:t>
      </w:r>
      <w:r w:rsidRPr="000D3201">
        <w:rPr>
          <w:rFonts w:hint="eastAsia"/>
        </w:rPr>
        <w:t>灵活、机动的皮带输送装置</w:t>
      </w:r>
      <w:r w:rsidRPr="000D3201">
        <w:t>，</w:t>
      </w:r>
      <w:r w:rsidRPr="000D3201">
        <w:rPr>
          <w:rFonts w:hint="eastAsia"/>
        </w:rPr>
        <w:t>用于输送各种块状、粒状等松散物料。</w:t>
      </w:r>
    </w:p>
    <w:p w:rsidR="000D3201" w:rsidRPr="000D3201" w:rsidRDefault="000D3201" w:rsidP="00833737">
      <w:pPr>
        <w:rPr>
          <w:rFonts w:ascii="黑体" w:eastAsia="黑体"/>
          <w:color w:val="548DD4" w:themeColor="text2" w:themeTint="99"/>
        </w:rPr>
      </w:pPr>
      <w:r w:rsidRPr="000D3201">
        <w:rPr>
          <w:rFonts w:ascii="黑体" w:eastAsia="黑体" w:hint="eastAsia"/>
          <w:color w:val="548DD4" w:themeColor="text2" w:themeTint="99"/>
        </w:rPr>
        <w:t>轮胎式移动漏斗</w:t>
      </w:r>
    </w:p>
    <w:p w:rsidR="00211614" w:rsidRDefault="00211614" w:rsidP="00211614">
      <w:pPr>
        <w:adjustRightInd w:val="0"/>
        <w:snapToGrid w:val="0"/>
      </w:pPr>
    </w:p>
    <w:p w:rsidR="00833737" w:rsidRDefault="00211614" w:rsidP="00991615">
      <w:pPr>
        <w:adjustRightInd w:val="0"/>
        <w:snapToGrid w:val="0"/>
        <w:ind w:firstLine="482"/>
      </w:pPr>
      <w:r w:rsidRPr="00211614">
        <w:rPr>
          <w:rFonts w:ascii="宋体" w:eastAsia="宋体" w:hAnsi="宋体" w:cs="宋体" w:hint="eastAsia"/>
          <w:noProof/>
          <w:color w:val="003163"/>
          <w:sz w:val="22"/>
        </w:rPr>
        <w:drawing>
          <wp:anchor distT="0" distB="0" distL="114300" distR="114300" simplePos="0" relativeHeight="251687936" behindDoc="0" locked="0" layoutInCell="1" allowOverlap="1">
            <wp:simplePos x="0" y="0"/>
            <wp:positionH relativeFrom="column">
              <wp:posOffset>23495</wp:posOffset>
            </wp:positionH>
            <wp:positionV relativeFrom="paragraph">
              <wp:posOffset>-31750</wp:posOffset>
            </wp:positionV>
            <wp:extent cx="5092700" cy="1680210"/>
            <wp:effectExtent l="0" t="0" r="0" b="0"/>
            <wp:wrapSquare wrapText="bothSides"/>
            <wp:docPr id="3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3" cstate="print"/>
                    <a:srcRect/>
                    <a:stretch>
                      <a:fillRect/>
                    </a:stretch>
                  </pic:blipFill>
                  <pic:spPr bwMode="auto">
                    <a:xfrm>
                      <a:off x="0" y="0"/>
                      <a:ext cx="5092700" cy="1680210"/>
                    </a:xfrm>
                    <a:prstGeom prst="rect">
                      <a:avLst/>
                    </a:prstGeom>
                    <a:noFill/>
                    <a:ln w="9525">
                      <a:noFill/>
                      <a:miter lim="800000"/>
                      <a:headEnd/>
                      <a:tailEnd/>
                    </a:ln>
                  </pic:spPr>
                </pic:pic>
              </a:graphicData>
            </a:graphic>
          </wp:anchor>
        </w:drawing>
      </w:r>
      <w:r w:rsidR="00833737" w:rsidRPr="00833737">
        <w:rPr>
          <w:rFonts w:hint="eastAsia"/>
        </w:rPr>
        <w:t>设备特点：轮胎式移动漏斗适用于如煤、炉渣、石灰石、铁矿、铝土矿等各种块状、粒状松散物料。当散装物料卸入漏斗时，产生的尘埃云成为主要污染源，漏斗内部特殊的结构可有效控制灰尘，漏斗分为上、下两个部分，由滞尘格分隔开来，集尘器产生的下沉气流</w:t>
      </w:r>
      <w:r w:rsidR="00833737" w:rsidRPr="00833737">
        <w:rPr>
          <w:rFonts w:hint="eastAsia"/>
        </w:rPr>
        <w:lastRenderedPageBreak/>
        <w:t>通过滞尘格来防止灰尘逃逸，所收集的粉尘直接回收到主料流中；配套设计紧凑的小型除尘器，根据漏斗开口部分的尺寸，除尘处理风量可达到</w:t>
      </w:r>
      <w:r w:rsidR="00833737" w:rsidRPr="00833737">
        <w:rPr>
          <w:rFonts w:hint="eastAsia"/>
        </w:rPr>
        <w:t>5</w:t>
      </w:r>
      <w:r w:rsidR="00833737" w:rsidRPr="00833737">
        <w:rPr>
          <w:rFonts w:hint="eastAsia"/>
        </w:rPr>
        <w:t>万立方米</w:t>
      </w:r>
      <w:r w:rsidR="00833737" w:rsidRPr="00833737">
        <w:rPr>
          <w:rFonts w:hint="eastAsia"/>
        </w:rPr>
        <w:t>/</w:t>
      </w:r>
      <w:r w:rsidR="00833737" w:rsidRPr="00833737">
        <w:rPr>
          <w:rFonts w:hint="eastAsia"/>
        </w:rPr>
        <w:t>小时到</w:t>
      </w:r>
      <w:r w:rsidR="00833737" w:rsidRPr="00833737">
        <w:rPr>
          <w:rFonts w:hint="eastAsia"/>
        </w:rPr>
        <w:t>20</w:t>
      </w:r>
      <w:r w:rsidR="00833737" w:rsidRPr="00833737">
        <w:rPr>
          <w:rFonts w:hint="eastAsia"/>
        </w:rPr>
        <w:t>万立方米</w:t>
      </w:r>
      <w:r w:rsidR="00833737" w:rsidRPr="00833737">
        <w:rPr>
          <w:rFonts w:hint="eastAsia"/>
        </w:rPr>
        <w:t>/</w:t>
      </w:r>
      <w:r w:rsidR="00833737" w:rsidRPr="00833737">
        <w:rPr>
          <w:rFonts w:hint="eastAsia"/>
        </w:rPr>
        <w:t>小时。</w:t>
      </w:r>
    </w:p>
    <w:p w:rsidR="000D3201" w:rsidRPr="000D3201" w:rsidRDefault="000D3201" w:rsidP="00833737">
      <w:pPr>
        <w:adjustRightInd w:val="0"/>
        <w:snapToGrid w:val="0"/>
        <w:ind w:firstLine="482"/>
      </w:pPr>
      <w:r w:rsidRPr="000D3201">
        <w:rPr>
          <w:rFonts w:hint="eastAsia"/>
        </w:rPr>
        <w:t>工作原理</w:t>
      </w:r>
      <w:r w:rsidR="00833737">
        <w:rPr>
          <w:rFonts w:hint="eastAsia"/>
        </w:rPr>
        <w:t>：</w:t>
      </w:r>
      <w:r w:rsidR="00833737" w:rsidRPr="000D3201">
        <w:rPr>
          <w:rFonts w:hint="eastAsia"/>
        </w:rPr>
        <w:t>根据卸船工艺要求，通过机车将漏斗牵引到指定位置；</w:t>
      </w:r>
      <w:r w:rsidRPr="000D3201">
        <w:rPr>
          <w:rFonts w:hint="eastAsia"/>
        </w:rPr>
        <w:t>通过电动液压推杆抬升漏斗，然后固定各个支撑点，运行时以支撑点受力保护轮胎；物料用抓斗卸到漏斗卸料区，卸料区的进料口和抓斗堵住了上扬的尘埃产生的尘埃云，气流通过滞尘格进入到集尘区，所收集的粉尘直接回收到主料流中，保证码头良好的工作环境。</w:t>
      </w:r>
    </w:p>
    <w:p w:rsidR="00B17992" w:rsidRPr="000D3201" w:rsidRDefault="00B17992" w:rsidP="00B17992">
      <w:pPr>
        <w:adjustRightInd w:val="0"/>
        <w:snapToGrid w:val="0"/>
        <w:ind w:firstLine="482"/>
      </w:pPr>
      <w:r w:rsidRPr="00833737">
        <w:rPr>
          <w:rFonts w:hint="eastAsia"/>
        </w:rPr>
        <w:t>适用范围：</w:t>
      </w:r>
      <w:r w:rsidRPr="000D3201">
        <w:rPr>
          <w:rFonts w:hint="eastAsia"/>
        </w:rPr>
        <w:t>目前码头使用的漏斗有固定式和轨道式移动漏斗等形式，固定式漏斗当货船卸空某一区域后，须移动货船或漏斗，影响卸船效率；轨道式移动漏斗须在码头增加固定设施，投资很大，降低了码头的运用效率，且漏斗不能纵向移动。当遇到大型船舶时，仅需要增加更多的轮胎式移动漏斗即可提升码头的吞吐量；漏斗也可用于临时码头，无需改变基本设计即可适用于各种产品，如扩大经营范围到基础设施之外或已开始装卸新的货物抑可提供额外的能力。</w:t>
      </w:r>
    </w:p>
    <w:p w:rsidR="00B17992" w:rsidRDefault="00B17992" w:rsidP="00B17992">
      <w:pPr>
        <w:adjustRightInd w:val="0"/>
        <w:snapToGrid w:val="0"/>
        <w:ind w:firstLine="482"/>
      </w:pPr>
      <w:r>
        <w:rPr>
          <w:rFonts w:hint="eastAsia"/>
        </w:rPr>
        <w:t>以上</w:t>
      </w:r>
      <w:r w:rsidR="00E57B87">
        <w:rPr>
          <w:rFonts w:hint="eastAsia"/>
        </w:rPr>
        <w:t>伍</w:t>
      </w:r>
      <w:r>
        <w:rPr>
          <w:rFonts w:hint="eastAsia"/>
        </w:rPr>
        <w:t>种设备具有一下共同的</w:t>
      </w:r>
      <w:r w:rsidR="00991615" w:rsidRPr="000D3201">
        <w:t>特征是</w:t>
      </w:r>
      <w:r w:rsidR="00991615" w:rsidRPr="000D3201">
        <w:rPr>
          <w:rFonts w:hint="eastAsia"/>
        </w:rPr>
        <w:t>：</w:t>
      </w:r>
    </w:p>
    <w:p w:rsidR="000D3201" w:rsidRPr="00991615" w:rsidRDefault="00991615" w:rsidP="00B17992">
      <w:pPr>
        <w:adjustRightInd w:val="0"/>
        <w:snapToGrid w:val="0"/>
        <w:ind w:firstLine="482"/>
      </w:pPr>
      <w:r w:rsidRPr="000D3201">
        <w:t>行走机构</w:t>
      </w:r>
      <w:r w:rsidRPr="000D3201">
        <w:rPr>
          <w:rFonts w:hint="eastAsia"/>
        </w:rPr>
        <w:t>的</w:t>
      </w:r>
      <w:r w:rsidRPr="000D3201">
        <w:t>行走</w:t>
      </w:r>
      <w:r w:rsidRPr="000D3201">
        <w:rPr>
          <w:rFonts w:hint="eastAsia"/>
        </w:rPr>
        <w:t>轮采用轮胎模式，无须布置固定轨道，可移动到任意位置，使整个装置移动没有局限性；</w:t>
      </w:r>
    </w:p>
    <w:p w:rsidR="00B17992" w:rsidRDefault="00CD72E4" w:rsidP="00CD72E4">
      <w:pPr>
        <w:ind w:firstLineChars="200" w:firstLine="420"/>
      </w:pPr>
      <w:r w:rsidRPr="003B5AE3">
        <w:rPr>
          <w:rFonts w:hint="eastAsia"/>
        </w:rPr>
        <w:t>不需专门的泊位或固定港口设施，不必扩大港口基础设施；</w:t>
      </w:r>
    </w:p>
    <w:p w:rsidR="00B17992" w:rsidRDefault="00CD72E4" w:rsidP="00CD72E4">
      <w:pPr>
        <w:ind w:firstLineChars="200" w:firstLine="420"/>
      </w:pPr>
      <w:r w:rsidRPr="003B5AE3">
        <w:rPr>
          <w:rFonts w:hint="eastAsia"/>
        </w:rPr>
        <w:t>当不进行装</w:t>
      </w:r>
      <w:r w:rsidR="00B17992">
        <w:rPr>
          <w:rFonts w:hint="eastAsia"/>
        </w:rPr>
        <w:t>、卸</w:t>
      </w:r>
      <w:r w:rsidRPr="003B5AE3">
        <w:rPr>
          <w:rFonts w:hint="eastAsia"/>
        </w:rPr>
        <w:t>船作业时，可以在泊位上清空所有的移动设备，对现存的港口运转影响极小；</w:t>
      </w:r>
    </w:p>
    <w:p w:rsidR="00B17992" w:rsidRDefault="00CD72E4" w:rsidP="00CD72E4">
      <w:pPr>
        <w:ind w:firstLineChars="200" w:firstLine="420"/>
      </w:pPr>
      <w:r w:rsidRPr="003B5AE3">
        <w:rPr>
          <w:rFonts w:hint="eastAsia"/>
        </w:rPr>
        <w:t>该设备可以轻松迁移到其它港口处，提升设备的利用率</w:t>
      </w:r>
      <w:r w:rsidR="00A432A9">
        <w:rPr>
          <w:rFonts w:hint="eastAsia"/>
        </w:rPr>
        <w:t>；</w:t>
      </w:r>
    </w:p>
    <w:p w:rsidR="00CD72E4" w:rsidRDefault="00B17992" w:rsidP="00CD72E4">
      <w:pPr>
        <w:ind w:firstLineChars="200" w:firstLine="420"/>
      </w:pPr>
      <w:r>
        <w:rPr>
          <w:rFonts w:hint="eastAsia"/>
        </w:rPr>
        <w:t>设备</w:t>
      </w:r>
      <w:r w:rsidR="00CD72E4" w:rsidRPr="005032EA">
        <w:rPr>
          <w:rFonts w:hint="eastAsia"/>
        </w:rPr>
        <w:t>具有独立性，如果交易结束，装船机（期权）可以自由的迁移，甚至</w:t>
      </w:r>
      <w:r w:rsidR="00CD72E4">
        <w:rPr>
          <w:rFonts w:hint="eastAsia"/>
        </w:rPr>
        <w:t>转卖。强劲的二手市场有效保障这些机器的剩余价值从而减少投资风险</w:t>
      </w:r>
      <w:r w:rsidR="00CD72E4">
        <w:rPr>
          <w:rFonts w:hint="eastAsia"/>
        </w:rPr>
        <w:t xml:space="preserve"> </w:t>
      </w:r>
      <w:r w:rsidR="00A432A9">
        <w:rPr>
          <w:rFonts w:hint="eastAsia"/>
        </w:rPr>
        <w:t>；</w:t>
      </w:r>
    </w:p>
    <w:p w:rsidR="00B17992" w:rsidRPr="000D3201" w:rsidRDefault="00B17992" w:rsidP="002C78FA">
      <w:pPr>
        <w:adjustRightInd w:val="0"/>
        <w:snapToGrid w:val="0"/>
        <w:ind w:firstLineChars="200" w:firstLine="420"/>
      </w:pPr>
      <w:r>
        <w:rPr>
          <w:rFonts w:hint="eastAsia"/>
        </w:rPr>
        <w:t>设备具有环保型，每套设备都可配套除尘、防尘设施。</w:t>
      </w:r>
    </w:p>
    <w:p w:rsidR="006110D4" w:rsidRDefault="008F45C5" w:rsidP="008F45C5">
      <w:pPr>
        <w:ind w:firstLineChars="200" w:firstLine="420"/>
      </w:pPr>
      <w:r>
        <w:rPr>
          <w:rFonts w:hint="eastAsia"/>
        </w:rPr>
        <w:t>综上所述，现代码头建设须改变传统的思维</w:t>
      </w:r>
      <w:r w:rsidR="00375407">
        <w:rPr>
          <w:rFonts w:hint="eastAsia"/>
        </w:rPr>
        <w:t>模式，无论是固定式还是轨道式装船机，将会使产品比较单一，投资很大，一旦有新的品种物料装船，</w:t>
      </w:r>
      <w:r w:rsidR="00A37E81">
        <w:rPr>
          <w:rFonts w:hint="eastAsia"/>
        </w:rPr>
        <w:t>工艺将无法适应，且占用码头大量空间资源。对于</w:t>
      </w:r>
      <w:r w:rsidR="00CF6589">
        <w:rPr>
          <w:rFonts w:hint="eastAsia"/>
        </w:rPr>
        <w:t>周期性有产品需要出港的，没有必要投入资金自建码头，只需根据自己的产品特性和船的大小购置一套移动式装船机，租赁附近别人的码头，投资很小。现代土地资源越趋稀缺</w:t>
      </w:r>
      <w:r w:rsidR="00072D49">
        <w:rPr>
          <w:rFonts w:hint="eastAsia"/>
        </w:rPr>
        <w:t>，码头堆场越高，利用率越高，堆料机及装船机的进料装置能以最快的速度接受物料，</w:t>
      </w:r>
      <w:r w:rsidR="00072D49" w:rsidRPr="00072D49">
        <w:rPr>
          <w:rFonts w:hint="eastAsia"/>
        </w:rPr>
        <w:t>堆料机</w:t>
      </w:r>
      <w:r w:rsidR="00072D49">
        <w:rPr>
          <w:rFonts w:hint="eastAsia"/>
        </w:rPr>
        <w:t>从速度、高度、环保几方面科学设计，相当于新建一个中等规模码头。</w:t>
      </w:r>
    </w:p>
    <w:p w:rsidR="00246E2E" w:rsidRDefault="00246E2E" w:rsidP="00392BC5"/>
    <w:p w:rsidR="00246E2E" w:rsidRDefault="00246E2E" w:rsidP="00392BC5"/>
    <w:p w:rsidR="00246E2E" w:rsidRDefault="00246E2E" w:rsidP="00392BC5"/>
    <w:p w:rsidR="00246E2E" w:rsidRDefault="00246E2E" w:rsidP="00392BC5"/>
    <w:p w:rsidR="00246E2E" w:rsidRDefault="00246E2E" w:rsidP="00392BC5"/>
    <w:p w:rsidR="00246E2E" w:rsidRDefault="00246E2E" w:rsidP="00392BC5"/>
    <w:p w:rsidR="00246E2E" w:rsidRDefault="00246E2E" w:rsidP="00392BC5"/>
    <w:p w:rsidR="00246E2E" w:rsidRDefault="00246E2E" w:rsidP="00392BC5"/>
    <w:p w:rsidR="00246E2E" w:rsidRDefault="00246E2E" w:rsidP="00392BC5"/>
    <w:sectPr w:rsidR="00246E2E" w:rsidSect="00B22B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4C9" w:rsidRDefault="002964C9" w:rsidP="00392BC5">
      <w:r>
        <w:separator/>
      </w:r>
    </w:p>
  </w:endnote>
  <w:endnote w:type="continuationSeparator" w:id="0">
    <w:p w:rsidR="002964C9" w:rsidRDefault="002964C9" w:rsidP="00392B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琥珀">
    <w:altName w:val="微软雅黑"/>
    <w:charset w:val="86"/>
    <w:family w:val="auto"/>
    <w:pitch w:val="variable"/>
    <w:sig w:usb0="00000000"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4C9" w:rsidRDefault="002964C9" w:rsidP="00392BC5">
      <w:r>
        <w:separator/>
      </w:r>
    </w:p>
  </w:footnote>
  <w:footnote w:type="continuationSeparator" w:id="0">
    <w:p w:rsidR="002964C9" w:rsidRDefault="002964C9" w:rsidP="00392B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B7308"/>
    <w:multiLevelType w:val="hybridMultilevel"/>
    <w:tmpl w:val="813C3D8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76E6"/>
    <w:rsid w:val="00013B3E"/>
    <w:rsid w:val="00017F33"/>
    <w:rsid w:val="000320EE"/>
    <w:rsid w:val="00072D49"/>
    <w:rsid w:val="00082FF8"/>
    <w:rsid w:val="000D3201"/>
    <w:rsid w:val="00112D54"/>
    <w:rsid w:val="00136542"/>
    <w:rsid w:val="001369B8"/>
    <w:rsid w:val="001C41D8"/>
    <w:rsid w:val="001F54CC"/>
    <w:rsid w:val="00211614"/>
    <w:rsid w:val="00246E2E"/>
    <w:rsid w:val="0025032D"/>
    <w:rsid w:val="002537E8"/>
    <w:rsid w:val="00275518"/>
    <w:rsid w:val="002964C9"/>
    <w:rsid w:val="002C78FA"/>
    <w:rsid w:val="002D33EA"/>
    <w:rsid w:val="002F030B"/>
    <w:rsid w:val="002F0D66"/>
    <w:rsid w:val="00355449"/>
    <w:rsid w:val="00356949"/>
    <w:rsid w:val="003574A5"/>
    <w:rsid w:val="00375407"/>
    <w:rsid w:val="0038406D"/>
    <w:rsid w:val="00392BC5"/>
    <w:rsid w:val="003A06B0"/>
    <w:rsid w:val="003B5AE3"/>
    <w:rsid w:val="003E5349"/>
    <w:rsid w:val="004A76E6"/>
    <w:rsid w:val="004D520E"/>
    <w:rsid w:val="004F3428"/>
    <w:rsid w:val="005032EA"/>
    <w:rsid w:val="005342BA"/>
    <w:rsid w:val="00537E22"/>
    <w:rsid w:val="005439BF"/>
    <w:rsid w:val="006063C2"/>
    <w:rsid w:val="006110D4"/>
    <w:rsid w:val="00682EFF"/>
    <w:rsid w:val="00697746"/>
    <w:rsid w:val="006C071C"/>
    <w:rsid w:val="006E7F78"/>
    <w:rsid w:val="00817D51"/>
    <w:rsid w:val="00833737"/>
    <w:rsid w:val="00833B14"/>
    <w:rsid w:val="008461B0"/>
    <w:rsid w:val="00883242"/>
    <w:rsid w:val="008F45C5"/>
    <w:rsid w:val="0091230B"/>
    <w:rsid w:val="0091558F"/>
    <w:rsid w:val="00991615"/>
    <w:rsid w:val="009F03E6"/>
    <w:rsid w:val="00A27291"/>
    <w:rsid w:val="00A37E81"/>
    <w:rsid w:val="00A432A9"/>
    <w:rsid w:val="00A53802"/>
    <w:rsid w:val="00AA2303"/>
    <w:rsid w:val="00AB4E10"/>
    <w:rsid w:val="00AE471B"/>
    <w:rsid w:val="00AF7F86"/>
    <w:rsid w:val="00B17992"/>
    <w:rsid w:val="00B22B60"/>
    <w:rsid w:val="00B35213"/>
    <w:rsid w:val="00B54ED4"/>
    <w:rsid w:val="00BA44D1"/>
    <w:rsid w:val="00BD1D31"/>
    <w:rsid w:val="00C01D89"/>
    <w:rsid w:val="00C30A74"/>
    <w:rsid w:val="00C71455"/>
    <w:rsid w:val="00CA1AFD"/>
    <w:rsid w:val="00CA5BDF"/>
    <w:rsid w:val="00CB4F52"/>
    <w:rsid w:val="00CD72E4"/>
    <w:rsid w:val="00CE6F31"/>
    <w:rsid w:val="00CF6589"/>
    <w:rsid w:val="00D86FD4"/>
    <w:rsid w:val="00DF5EBA"/>
    <w:rsid w:val="00E2591B"/>
    <w:rsid w:val="00E57B87"/>
    <w:rsid w:val="00E87FBE"/>
    <w:rsid w:val="00E95953"/>
    <w:rsid w:val="00E97B9D"/>
    <w:rsid w:val="00EC1829"/>
    <w:rsid w:val="00F21F21"/>
    <w:rsid w:val="00F2684F"/>
    <w:rsid w:val="00F402E1"/>
    <w:rsid w:val="00F5116D"/>
    <w:rsid w:val="00F91A85"/>
    <w:rsid w:val="00FA1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B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2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2BC5"/>
    <w:rPr>
      <w:sz w:val="18"/>
      <w:szCs w:val="18"/>
    </w:rPr>
  </w:style>
  <w:style w:type="paragraph" w:styleId="a4">
    <w:name w:val="footer"/>
    <w:basedOn w:val="a"/>
    <w:link w:val="Char0"/>
    <w:uiPriority w:val="99"/>
    <w:unhideWhenUsed/>
    <w:rsid w:val="00392BC5"/>
    <w:pPr>
      <w:tabs>
        <w:tab w:val="center" w:pos="4153"/>
        <w:tab w:val="right" w:pos="8306"/>
      </w:tabs>
      <w:snapToGrid w:val="0"/>
      <w:jc w:val="left"/>
    </w:pPr>
    <w:rPr>
      <w:sz w:val="18"/>
      <w:szCs w:val="18"/>
    </w:rPr>
  </w:style>
  <w:style w:type="character" w:customStyle="1" w:styleId="Char0">
    <w:name w:val="页脚 Char"/>
    <w:basedOn w:val="a0"/>
    <w:link w:val="a4"/>
    <w:uiPriority w:val="99"/>
    <w:rsid w:val="00392BC5"/>
    <w:rPr>
      <w:sz w:val="18"/>
      <w:szCs w:val="18"/>
    </w:rPr>
  </w:style>
  <w:style w:type="paragraph" w:styleId="a5">
    <w:name w:val="Balloon Text"/>
    <w:basedOn w:val="a"/>
    <w:link w:val="Char1"/>
    <w:uiPriority w:val="99"/>
    <w:semiHidden/>
    <w:unhideWhenUsed/>
    <w:rsid w:val="005032EA"/>
    <w:rPr>
      <w:sz w:val="18"/>
      <w:szCs w:val="18"/>
    </w:rPr>
  </w:style>
  <w:style w:type="character" w:customStyle="1" w:styleId="Char1">
    <w:name w:val="批注框文本 Char"/>
    <w:basedOn w:val="a0"/>
    <w:link w:val="a5"/>
    <w:uiPriority w:val="99"/>
    <w:semiHidden/>
    <w:rsid w:val="005032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2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2BC5"/>
    <w:rPr>
      <w:sz w:val="18"/>
      <w:szCs w:val="18"/>
    </w:rPr>
  </w:style>
  <w:style w:type="paragraph" w:styleId="a4">
    <w:name w:val="footer"/>
    <w:basedOn w:val="a"/>
    <w:link w:val="Char0"/>
    <w:uiPriority w:val="99"/>
    <w:unhideWhenUsed/>
    <w:rsid w:val="00392BC5"/>
    <w:pPr>
      <w:tabs>
        <w:tab w:val="center" w:pos="4153"/>
        <w:tab w:val="right" w:pos="8306"/>
      </w:tabs>
      <w:snapToGrid w:val="0"/>
      <w:jc w:val="left"/>
    </w:pPr>
    <w:rPr>
      <w:sz w:val="18"/>
      <w:szCs w:val="18"/>
    </w:rPr>
  </w:style>
  <w:style w:type="character" w:customStyle="1" w:styleId="Char0">
    <w:name w:val="页脚 Char"/>
    <w:basedOn w:val="a0"/>
    <w:link w:val="a4"/>
    <w:uiPriority w:val="99"/>
    <w:rsid w:val="00392BC5"/>
    <w:rPr>
      <w:sz w:val="18"/>
      <w:szCs w:val="18"/>
    </w:rPr>
  </w:style>
  <w:style w:type="paragraph" w:styleId="a5">
    <w:name w:val="Balloon Text"/>
    <w:basedOn w:val="a"/>
    <w:link w:val="Char1"/>
    <w:uiPriority w:val="99"/>
    <w:semiHidden/>
    <w:unhideWhenUsed/>
    <w:rsid w:val="005032EA"/>
    <w:rPr>
      <w:sz w:val="18"/>
      <w:szCs w:val="18"/>
    </w:rPr>
  </w:style>
  <w:style w:type="character" w:customStyle="1" w:styleId="Char1">
    <w:name w:val="批注框文本 Char"/>
    <w:basedOn w:val="a0"/>
    <w:link w:val="a5"/>
    <w:uiPriority w:val="99"/>
    <w:semiHidden/>
    <w:rsid w:val="005032E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F2F93-5559-4FB9-AC48-2B00B223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479</Words>
  <Characters>2731</Characters>
  <Application>Microsoft Office Word</Application>
  <DocSecurity>0</DocSecurity>
  <Lines>22</Lines>
  <Paragraphs>6</Paragraphs>
  <ScaleCrop>false</ScaleCrop>
  <Company>WwW.YlmF.CoM</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Administrator</cp:lastModifiedBy>
  <cp:revision>4</cp:revision>
  <dcterms:created xsi:type="dcterms:W3CDTF">2012-10-14T02:46:00Z</dcterms:created>
  <dcterms:modified xsi:type="dcterms:W3CDTF">2019-10-04T07:05:00Z</dcterms:modified>
</cp:coreProperties>
</file>